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E3E" w:rsidRPr="003E5E3E" w:rsidRDefault="003E5E3E" w:rsidP="003E5E3E">
      <w:pPr>
        <w:spacing w:before="100" w:beforeAutospacing="1" w:after="100" w:afterAutospacing="1"/>
        <w:jc w:val="center"/>
        <w:rPr>
          <w:rFonts w:ascii="Times" w:hAnsi="Times" w:cs="Times New Roman"/>
          <w:sz w:val="20"/>
          <w:szCs w:val="20"/>
          <w:lang w:eastAsia="en-US"/>
        </w:rPr>
      </w:pPr>
      <w:r w:rsidRPr="003E5E3E">
        <w:rPr>
          <w:rFonts w:ascii="Calibri" w:hAnsi="Calibri" w:cs="Times New Roman"/>
          <w:b/>
          <w:bCs/>
          <w:sz w:val="20"/>
          <w:szCs w:val="20"/>
          <w:lang w:eastAsia="en-US"/>
        </w:rPr>
        <w:t>Baring Private Equity Asia Raises Record US$3.988 Billion Fund VI</w:t>
      </w:r>
    </w:p>
    <w:p w:rsidR="003E5E3E" w:rsidRPr="003E5E3E" w:rsidRDefault="003E5E3E" w:rsidP="003E5E3E">
      <w:pPr>
        <w:spacing w:before="100" w:beforeAutospacing="1" w:after="100" w:afterAutospacing="1"/>
        <w:ind w:left="720"/>
        <w:rPr>
          <w:rFonts w:ascii="Times" w:hAnsi="Times" w:cs="Times New Roman"/>
          <w:sz w:val="20"/>
          <w:szCs w:val="20"/>
          <w:lang w:eastAsia="en-US"/>
        </w:rPr>
      </w:pPr>
      <w:r w:rsidRPr="003E5E3E">
        <w:rPr>
          <w:rFonts w:ascii="Symbol" w:hAnsi="Symbol" w:cs="Times New Roman"/>
          <w:sz w:val="20"/>
          <w:szCs w:val="20"/>
          <w:lang w:eastAsia="en-US"/>
        </w:rPr>
        <w:t></w:t>
      </w:r>
      <w:r w:rsidRPr="003E5E3E">
        <w:rPr>
          <w:rFonts w:ascii="Times New Roman" w:hAnsi="Times New Roman" w:cs="Times New Roman"/>
          <w:sz w:val="14"/>
          <w:szCs w:val="14"/>
          <w:lang w:eastAsia="en-US"/>
        </w:rPr>
        <w:t xml:space="preserve">         </w:t>
      </w:r>
      <w:r w:rsidRPr="003E5E3E">
        <w:rPr>
          <w:rFonts w:ascii="Calibri" w:hAnsi="Calibri" w:cs="Times New Roman"/>
          <w:sz w:val="20"/>
          <w:szCs w:val="20"/>
          <w:lang w:eastAsia="en-US"/>
        </w:rPr>
        <w:t>Baring Asia VI is the largest PE Fund ever raised by an Asia-based PE Firm</w:t>
      </w:r>
    </w:p>
    <w:p w:rsidR="003E5E3E" w:rsidRPr="003E5E3E" w:rsidRDefault="003E5E3E" w:rsidP="003E5E3E">
      <w:pPr>
        <w:spacing w:before="100" w:beforeAutospacing="1" w:after="100" w:afterAutospacing="1"/>
        <w:ind w:left="720"/>
        <w:rPr>
          <w:rFonts w:ascii="Times" w:hAnsi="Times" w:cs="Times New Roman"/>
          <w:sz w:val="20"/>
          <w:szCs w:val="20"/>
          <w:lang w:eastAsia="en-US"/>
        </w:rPr>
      </w:pPr>
      <w:r w:rsidRPr="003E5E3E">
        <w:rPr>
          <w:rFonts w:ascii="Symbol" w:hAnsi="Symbol" w:cs="Times New Roman"/>
          <w:sz w:val="20"/>
          <w:szCs w:val="20"/>
          <w:lang w:eastAsia="en-US"/>
        </w:rPr>
        <w:t></w:t>
      </w:r>
      <w:r w:rsidRPr="003E5E3E">
        <w:rPr>
          <w:rFonts w:ascii="Times New Roman" w:hAnsi="Times New Roman" w:cs="Times New Roman"/>
          <w:sz w:val="14"/>
          <w:szCs w:val="14"/>
          <w:lang w:eastAsia="en-US"/>
        </w:rPr>
        <w:t xml:space="preserve">         </w:t>
      </w:r>
      <w:r w:rsidRPr="003E5E3E">
        <w:rPr>
          <w:rFonts w:ascii="Calibri" w:hAnsi="Calibri" w:cs="Times New Roman"/>
          <w:sz w:val="20"/>
          <w:szCs w:val="20"/>
          <w:lang w:eastAsia="en-US"/>
        </w:rPr>
        <w:t xml:space="preserve">Fund VI closed at its hard cap; investors were scaled back from the first close due to excess demand </w:t>
      </w:r>
    </w:p>
    <w:p w:rsidR="003E5E3E" w:rsidRPr="003E5E3E" w:rsidRDefault="003E5E3E" w:rsidP="003E5E3E">
      <w:pPr>
        <w:spacing w:before="100" w:beforeAutospacing="1" w:after="100" w:afterAutospacing="1"/>
        <w:ind w:left="720"/>
        <w:rPr>
          <w:rFonts w:ascii="Times" w:hAnsi="Times" w:cs="Times New Roman"/>
          <w:sz w:val="20"/>
          <w:szCs w:val="20"/>
          <w:lang w:eastAsia="en-US"/>
        </w:rPr>
      </w:pPr>
      <w:r w:rsidRPr="003E5E3E">
        <w:rPr>
          <w:rFonts w:ascii="Symbol" w:hAnsi="Symbol" w:cs="Times New Roman"/>
          <w:sz w:val="20"/>
          <w:szCs w:val="20"/>
          <w:lang w:eastAsia="en-US"/>
        </w:rPr>
        <w:t></w:t>
      </w:r>
      <w:r w:rsidRPr="003E5E3E">
        <w:rPr>
          <w:rFonts w:ascii="Times New Roman" w:hAnsi="Times New Roman" w:cs="Times New Roman"/>
          <w:sz w:val="14"/>
          <w:szCs w:val="14"/>
          <w:lang w:eastAsia="en-US"/>
        </w:rPr>
        <w:t xml:space="preserve">         </w:t>
      </w:r>
      <w:proofErr w:type="gramStart"/>
      <w:r w:rsidRPr="003E5E3E">
        <w:rPr>
          <w:rFonts w:ascii="Calibri" w:hAnsi="Calibri" w:cs="Times New Roman"/>
          <w:sz w:val="20"/>
          <w:szCs w:val="20"/>
          <w:lang w:eastAsia="en-US"/>
        </w:rPr>
        <w:t>New</w:t>
      </w:r>
      <w:proofErr w:type="gramEnd"/>
      <w:r w:rsidRPr="003E5E3E">
        <w:rPr>
          <w:rFonts w:ascii="Calibri" w:hAnsi="Calibri" w:cs="Times New Roman"/>
          <w:sz w:val="20"/>
          <w:szCs w:val="20"/>
          <w:lang w:eastAsia="en-US"/>
        </w:rPr>
        <w:t xml:space="preserve"> fund consolidates Baring Asia’s position as one of the largest dedicated Asian PE firms with 7 offices, over 110 staff and more than US$9 billion under advisory</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b/>
          <w:bCs/>
          <w:i/>
          <w:iCs/>
          <w:sz w:val="20"/>
          <w:szCs w:val="20"/>
          <w:lang w:eastAsia="en-US"/>
        </w:rPr>
        <w:t>Hong Kong, 24 February 2015</w:t>
      </w:r>
      <w:r w:rsidRPr="003E5E3E">
        <w:rPr>
          <w:rFonts w:ascii="Calibri" w:hAnsi="Calibri" w:cs="Times New Roman"/>
          <w:sz w:val="20"/>
          <w:szCs w:val="20"/>
          <w:lang w:eastAsia="en-US"/>
        </w:rPr>
        <w:t xml:space="preserve"> – Baring Private Equity Asia (“Baring Asia”) today announced the closing of The Baring Asia Private Equity Fund VI (“Fund VI”), a private equity fund with US$3,988,000,000 in commitments. Fund VI, which reached its first close of $3.3 billion last year within four months of launching, closed at its hard cap and was heavily oversubscribed. Baring Asia is one of the oldest and most established firms in the region and has been investing in Asia since 1997.  </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sz w:val="20"/>
          <w:szCs w:val="20"/>
          <w:lang w:eastAsia="en-US"/>
        </w:rPr>
        <w:t> </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sz w:val="20"/>
          <w:szCs w:val="20"/>
          <w:lang w:eastAsia="en-US"/>
        </w:rPr>
        <w:t xml:space="preserve">Fund VI will continue the Firm’s successful strategy of partnering with management teams and entrepreneurs to support their growth in Asia through operational improvement, industry consolidation and cross-border expansion. The Fund will target companies in Asia, as well as those in Europe and North America with growth plans in Asia, in a broad range of sectors. </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sz w:val="20"/>
          <w:szCs w:val="20"/>
          <w:lang w:eastAsia="en-US"/>
        </w:rPr>
        <w:t> </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sz w:val="20"/>
          <w:szCs w:val="20"/>
          <w:lang w:eastAsia="en-US"/>
        </w:rPr>
        <w:t xml:space="preserve">Jean Eric </w:t>
      </w:r>
      <w:proofErr w:type="spellStart"/>
      <w:r w:rsidRPr="003E5E3E">
        <w:rPr>
          <w:rFonts w:ascii="Calibri" w:hAnsi="Calibri" w:cs="Times New Roman"/>
          <w:sz w:val="20"/>
          <w:szCs w:val="20"/>
          <w:lang w:eastAsia="en-US"/>
        </w:rPr>
        <w:t>Salata</w:t>
      </w:r>
      <w:proofErr w:type="spellEnd"/>
      <w:r w:rsidRPr="003E5E3E">
        <w:rPr>
          <w:rFonts w:ascii="Calibri" w:hAnsi="Calibri" w:cs="Times New Roman"/>
          <w:sz w:val="20"/>
          <w:szCs w:val="20"/>
          <w:lang w:eastAsia="en-US"/>
        </w:rPr>
        <w:t xml:space="preserve">, Founding Partner and CEO of Baring Asia said, “We are very grateful for the support we received from both our existing investors and the many new investors that chose to commit to Baring Asia VI. The success of the fundraise is a testament to the 18 years of hard work put in by our entire team in building our franchise and the strong execution capabilities of our portfolio company management teams in building great businesses.”  </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sz w:val="20"/>
          <w:szCs w:val="20"/>
          <w:lang w:eastAsia="en-US"/>
        </w:rPr>
        <w:t> </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sz w:val="20"/>
          <w:szCs w:val="20"/>
          <w:lang w:eastAsia="en-US"/>
        </w:rPr>
        <w:t xml:space="preserve">Commenting on Fund VI being 60% larger than its predecessor </w:t>
      </w:r>
      <w:proofErr w:type="gramStart"/>
      <w:r w:rsidRPr="003E5E3E">
        <w:rPr>
          <w:rFonts w:ascii="Calibri" w:hAnsi="Calibri" w:cs="Times New Roman"/>
          <w:sz w:val="20"/>
          <w:szCs w:val="20"/>
          <w:lang w:eastAsia="en-US"/>
        </w:rPr>
        <w:t>raised</w:t>
      </w:r>
      <w:proofErr w:type="gramEnd"/>
      <w:r w:rsidRPr="003E5E3E">
        <w:rPr>
          <w:rFonts w:ascii="Calibri" w:hAnsi="Calibri" w:cs="Times New Roman"/>
          <w:sz w:val="20"/>
          <w:szCs w:val="20"/>
          <w:lang w:eastAsia="en-US"/>
        </w:rPr>
        <w:t xml:space="preserve"> in 2011, “Although there was demand for a substantially larger fund, we capped capital commitments at a level we were comfortable we could invest well. We are seeing many more situations involving </w:t>
      </w:r>
      <w:proofErr w:type="gramStart"/>
      <w:r w:rsidRPr="003E5E3E">
        <w:rPr>
          <w:rFonts w:ascii="Calibri" w:hAnsi="Calibri" w:cs="Times New Roman"/>
          <w:sz w:val="20"/>
          <w:szCs w:val="20"/>
          <w:lang w:eastAsia="en-US"/>
        </w:rPr>
        <w:t>large scale</w:t>
      </w:r>
      <w:proofErr w:type="gramEnd"/>
      <w:r w:rsidRPr="003E5E3E">
        <w:rPr>
          <w:rFonts w:ascii="Calibri" w:hAnsi="Calibri" w:cs="Times New Roman"/>
          <w:sz w:val="20"/>
          <w:szCs w:val="20"/>
          <w:lang w:eastAsia="en-US"/>
        </w:rPr>
        <w:t xml:space="preserve"> companies and more control deals than we used to, so we expect the average investment amount per company also to be larger. Today Baring Asia has a team of 110 across Asia, twice the size of our team at the close of our previous fund”</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sz w:val="20"/>
          <w:szCs w:val="20"/>
          <w:lang w:eastAsia="en-US"/>
        </w:rPr>
        <w:t> </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sz w:val="20"/>
          <w:szCs w:val="20"/>
          <w:lang w:eastAsia="en-US"/>
        </w:rPr>
        <w:t>Investor commitments came from institutional investors across the globe including North American pension funds, Asian and Middle East Sovereign Wealth Funds, Endowments and Funds of Funds. The over-subscribed fund consisted of many existing investors as well as several new investors. The Firm’s partners are committing $[138] million, making them one of the largest investors in Fund VI.</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sz w:val="20"/>
          <w:szCs w:val="20"/>
          <w:lang w:eastAsia="en-US"/>
        </w:rPr>
        <w:t> </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sz w:val="20"/>
          <w:szCs w:val="20"/>
          <w:lang w:eastAsia="en-US"/>
        </w:rPr>
        <w:lastRenderedPageBreak/>
        <w:t xml:space="preserve">Since its inception, Baring Asia has invested in 72 companies with transaction values totaling US$11 billion. </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sz w:val="20"/>
          <w:szCs w:val="20"/>
          <w:lang w:eastAsia="en-US"/>
        </w:rPr>
        <w:t> </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sz w:val="20"/>
          <w:szCs w:val="20"/>
          <w:lang w:eastAsia="en-US"/>
        </w:rPr>
        <w:t xml:space="preserve">-- Ends – </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sz w:val="20"/>
          <w:szCs w:val="20"/>
          <w:lang w:eastAsia="en-US"/>
        </w:rPr>
        <w:t> </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b/>
          <w:bCs/>
          <w:sz w:val="20"/>
          <w:szCs w:val="20"/>
          <w:lang w:eastAsia="en-US"/>
        </w:rPr>
        <w:t xml:space="preserve">About Baring Asia </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sz w:val="20"/>
          <w:szCs w:val="20"/>
          <w:lang w:eastAsia="en-US"/>
        </w:rPr>
        <w:t xml:space="preserve">Baring Asia is one of the largest and most established independent private equity firms in Asia and advises funds that manage more than USD9 billion in committed capital. The firm runs a pan‐Asian investment program, sponsoring management buyouts and providing growth capital to companies for expansion or acquisitions. </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sz w:val="20"/>
          <w:szCs w:val="20"/>
          <w:lang w:eastAsia="en-US"/>
        </w:rPr>
        <w:t xml:space="preserve">The firm has been investing in Asia since its formation in 1997 and has over 110 employees located across seven offices in Hong Kong, Shanghai, Beijing, Mumbai, Singapore, Jakarta and Tokyo. Baring Asia currently has over 30 portfolio companies across Asia with a total of 95,000 employees and sales of approximately USD30 billion in 2014. </w:t>
      </w:r>
    </w:p>
    <w:p w:rsidR="003E5E3E" w:rsidRPr="003E5E3E" w:rsidRDefault="003E5E3E" w:rsidP="003E5E3E">
      <w:pPr>
        <w:spacing w:before="100" w:beforeAutospacing="1" w:after="100" w:afterAutospacing="1"/>
        <w:rPr>
          <w:rFonts w:ascii="Times" w:hAnsi="Times" w:cs="Times New Roman"/>
          <w:sz w:val="20"/>
          <w:szCs w:val="20"/>
          <w:lang w:eastAsia="en-US"/>
        </w:rPr>
      </w:pPr>
      <w:r w:rsidRPr="003E5E3E">
        <w:rPr>
          <w:rFonts w:ascii="Calibri" w:hAnsi="Calibri" w:cs="Times New Roman"/>
          <w:sz w:val="20"/>
          <w:szCs w:val="20"/>
          <w:lang w:eastAsia="en-US"/>
        </w:rPr>
        <w:t> </w:t>
      </w:r>
      <w:bookmarkStart w:id="0" w:name="_GoBack"/>
      <w:bookmarkEnd w:id="0"/>
      <w:r w:rsidRPr="003E5E3E">
        <w:rPr>
          <w:rFonts w:ascii="Times" w:hAnsi="Times" w:cs="Times New Roman"/>
          <w:b/>
          <w:bCs/>
          <w:lang w:val="en-HK" w:eastAsia="en-US"/>
        </w:rPr>
        <w:t xml:space="preserve"> </w:t>
      </w:r>
    </w:p>
    <w:p w:rsidR="00947456" w:rsidRDefault="00947456"/>
    <w:sectPr w:rsidR="00947456" w:rsidSect="0027379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3E"/>
    <w:rsid w:val="00273796"/>
    <w:rsid w:val="003E5E3E"/>
    <w:rsid w:val="00947456"/>
    <w:rsid w:val="00F013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CDE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3E"/>
    <w:pPr>
      <w:spacing w:before="100" w:beforeAutospacing="1" w:after="100" w:afterAutospacing="1"/>
    </w:pPr>
    <w:rPr>
      <w:rFonts w:ascii="Times" w:hAnsi="Times" w:cs="Times New Roman"/>
      <w:sz w:val="20"/>
      <w:szCs w:val="20"/>
      <w:lang w:eastAsia="en-US"/>
    </w:rPr>
  </w:style>
  <w:style w:type="character" w:customStyle="1" w:styleId="aqj">
    <w:name w:val="aqj"/>
    <w:basedOn w:val="DefaultParagraphFont"/>
    <w:rsid w:val="003E5E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E3E"/>
    <w:pPr>
      <w:spacing w:before="100" w:beforeAutospacing="1" w:after="100" w:afterAutospacing="1"/>
    </w:pPr>
    <w:rPr>
      <w:rFonts w:ascii="Times" w:hAnsi="Times" w:cs="Times New Roman"/>
      <w:sz w:val="20"/>
      <w:szCs w:val="20"/>
      <w:lang w:eastAsia="en-US"/>
    </w:rPr>
  </w:style>
  <w:style w:type="character" w:customStyle="1" w:styleId="aqj">
    <w:name w:val="aqj"/>
    <w:basedOn w:val="DefaultParagraphFont"/>
    <w:rsid w:val="003E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859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2947</Characters>
  <Application>Microsoft Macintosh Word</Application>
  <DocSecurity>0</DocSecurity>
  <Lines>24</Lines>
  <Paragraphs>6</Paragraphs>
  <ScaleCrop>false</ScaleCrop>
  <Company>university of missouri</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User</dc:creator>
  <cp:keywords/>
  <dc:description/>
  <cp:lastModifiedBy>n User</cp:lastModifiedBy>
  <cp:revision>1</cp:revision>
  <dcterms:created xsi:type="dcterms:W3CDTF">2015-02-24T09:09:00Z</dcterms:created>
  <dcterms:modified xsi:type="dcterms:W3CDTF">2015-02-24T09:10:00Z</dcterms:modified>
</cp:coreProperties>
</file>