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SimSun" w:hAnsi="SimSun" w:cs="Times New Roman"/>
          <w:sz w:val="20"/>
          <w:szCs w:val="20"/>
          <w:lang w:eastAsia="zh-CN"/>
        </w:rPr>
        <w:t>黃國濱</w:t>
      </w:r>
      <w:r w:rsidRPr="00543270">
        <w:rPr>
          <w:rFonts w:ascii="SimSun" w:hAnsi="SimSun" w:cs="Times New Roman"/>
          <w:sz w:val="20"/>
          <w:szCs w:val="20"/>
          <w:lang w:eastAsia="en-US"/>
        </w:rPr>
        <w:t>(Houston Huang)</w:t>
      </w:r>
      <w:r w:rsidRPr="00543270">
        <w:rPr>
          <w:rFonts w:ascii="SimSun" w:hAnsi="SimSun" w:cs="Times New Roman"/>
          <w:sz w:val="20"/>
          <w:szCs w:val="20"/>
          <w:lang w:eastAsia="zh-CN"/>
        </w:rPr>
        <w:t>将于今年底正式加入摩根大通，担任</w:t>
      </w:r>
      <w:r w:rsidRPr="00543270">
        <w:rPr>
          <w:rFonts w:ascii="SimSun" w:hAnsi="SimSun" w:cs="Times New Roman"/>
          <w:b/>
          <w:bCs/>
          <w:sz w:val="20"/>
          <w:szCs w:val="20"/>
          <w:lang w:eastAsia="zh-CN"/>
        </w:rPr>
        <w:t>摩根大通国</w:t>
      </w:r>
      <w:r w:rsidRPr="00543270">
        <w:rPr>
          <w:rFonts w:ascii="Hannotate SC Regular" w:eastAsia="Hannotate SC Regular" w:hAnsi="Hannotate SC Regular" w:cs="Hannotate SC Regular"/>
          <w:b/>
          <w:bCs/>
          <w:sz w:val="20"/>
          <w:szCs w:val="20"/>
          <w:lang w:eastAsia="zh-CN"/>
        </w:rPr>
        <w:t>际</w:t>
      </w:r>
      <w:r w:rsidRPr="00543270">
        <w:rPr>
          <w:rFonts w:ascii="SimSun" w:hAnsi="SimSun" w:cs="Times New Roman"/>
          <w:b/>
          <w:bCs/>
          <w:sz w:val="20"/>
          <w:szCs w:val="20"/>
          <w:lang w:eastAsia="zh-CN"/>
        </w:rPr>
        <w:t>投</w:t>
      </w:r>
      <w:r w:rsidRPr="00543270">
        <w:rPr>
          <w:rFonts w:ascii="Hannotate SC Regular" w:eastAsia="Hannotate SC Regular" w:hAnsi="Hannotate SC Regular" w:cs="Hannotate SC Regular"/>
          <w:b/>
          <w:bCs/>
          <w:sz w:val="20"/>
          <w:szCs w:val="20"/>
          <w:lang w:eastAsia="zh-CN"/>
        </w:rPr>
        <w:t>资银</w:t>
      </w:r>
      <w:r w:rsidRPr="00543270">
        <w:rPr>
          <w:rFonts w:ascii="SimSun" w:hAnsi="SimSun" w:cs="Times New Roman"/>
          <w:b/>
          <w:bCs/>
          <w:sz w:val="20"/>
          <w:szCs w:val="20"/>
          <w:lang w:eastAsia="zh-CN"/>
        </w:rPr>
        <w:t>行中国</w:t>
      </w:r>
      <w:r w:rsidRPr="00543270">
        <w:rPr>
          <w:rFonts w:ascii="Hannotate SC Regular" w:eastAsia="Hannotate SC Regular" w:hAnsi="Hannotate SC Regular" w:cs="Hannotate SC Regular"/>
          <w:b/>
          <w:bCs/>
          <w:sz w:val="20"/>
          <w:szCs w:val="20"/>
          <w:lang w:eastAsia="zh-CN"/>
        </w:rPr>
        <w:t>业务</w:t>
      </w:r>
      <w:r w:rsidRPr="00543270">
        <w:rPr>
          <w:rFonts w:ascii="SimSun" w:hAnsi="SimSun" w:cs="Times New Roman"/>
          <w:b/>
          <w:bCs/>
          <w:sz w:val="20"/>
          <w:szCs w:val="20"/>
          <w:lang w:eastAsia="zh-CN"/>
        </w:rPr>
        <w:t>主管</w:t>
      </w:r>
      <w:r w:rsidRPr="00543270">
        <w:rPr>
          <w:rFonts w:ascii="SimSun" w:hAnsi="SimSun" w:cs="Times New Roman"/>
          <w:sz w:val="20"/>
          <w:szCs w:val="20"/>
          <w:lang w:eastAsia="en-US"/>
        </w:rPr>
        <w:t>,</w:t>
      </w:r>
      <w:r w:rsidRPr="00543270">
        <w:rPr>
          <w:rFonts w:ascii="SimSun" w:hAnsi="SimSun" w:cs="Times New Roman"/>
          <w:sz w:val="20"/>
          <w:szCs w:val="20"/>
          <w:lang w:eastAsia="zh-CN"/>
        </w:rPr>
        <w:t>并直接向</w:t>
      </w:r>
      <w:r w:rsidRPr="00543270">
        <w:rPr>
          <w:rFonts w:ascii="SimSun" w:hAnsi="SimSun" w:cs="Times New Roman"/>
          <w:b/>
          <w:bCs/>
          <w:sz w:val="20"/>
          <w:szCs w:val="20"/>
          <w:lang w:eastAsia="zh-CN"/>
        </w:rPr>
        <w:t>摩根大通中国主席兼首席</w:t>
      </w:r>
      <w:r w:rsidRPr="00543270">
        <w:rPr>
          <w:rFonts w:ascii="Hannotate SC Regular" w:eastAsia="Hannotate SC Regular" w:hAnsi="Hannotate SC Regular" w:cs="Hannotate SC Regular"/>
          <w:b/>
          <w:bCs/>
          <w:sz w:val="20"/>
          <w:szCs w:val="20"/>
          <w:lang w:eastAsia="zh-CN"/>
        </w:rPr>
        <w:t>执</w:t>
      </w:r>
      <w:r w:rsidRPr="00543270">
        <w:rPr>
          <w:rFonts w:ascii="SimSun" w:hAnsi="SimSun" w:cs="Times New Roman"/>
          <w:b/>
          <w:bCs/>
          <w:sz w:val="20"/>
          <w:szCs w:val="20"/>
          <w:lang w:eastAsia="zh-CN"/>
        </w:rPr>
        <w:t>行官、大中</w:t>
      </w:r>
      <w:r w:rsidRPr="00543270">
        <w:rPr>
          <w:rFonts w:ascii="Hannotate SC Regular" w:eastAsia="Hannotate SC Regular" w:hAnsi="Hannotate SC Regular" w:cs="Hannotate SC Regular"/>
          <w:b/>
          <w:bCs/>
          <w:sz w:val="20"/>
          <w:szCs w:val="20"/>
          <w:lang w:eastAsia="zh-CN"/>
        </w:rPr>
        <w:t>华</w:t>
      </w:r>
      <w:r w:rsidRPr="00543270">
        <w:rPr>
          <w:rFonts w:ascii="SimSun" w:hAnsi="SimSun" w:cs="Times New Roman"/>
          <w:b/>
          <w:bCs/>
          <w:sz w:val="20"/>
          <w:szCs w:val="20"/>
          <w:lang w:eastAsia="zh-CN"/>
        </w:rPr>
        <w:t>区</w:t>
      </w:r>
      <w:r w:rsidRPr="00543270">
        <w:rPr>
          <w:rFonts w:ascii="Hannotate SC Regular" w:eastAsia="Hannotate SC Regular" w:hAnsi="Hannotate SC Regular" w:cs="Hannotate SC Regular"/>
          <w:b/>
          <w:bCs/>
          <w:sz w:val="20"/>
          <w:szCs w:val="20"/>
          <w:lang w:eastAsia="zh-CN"/>
        </w:rPr>
        <w:t>银</w:t>
      </w:r>
      <w:r w:rsidRPr="00543270">
        <w:rPr>
          <w:rFonts w:ascii="SimSun" w:hAnsi="SimSun" w:cs="Times New Roman"/>
          <w:b/>
          <w:bCs/>
          <w:sz w:val="20"/>
          <w:szCs w:val="20"/>
          <w:lang w:eastAsia="zh-CN"/>
        </w:rPr>
        <w:t>行</w:t>
      </w:r>
      <w:r w:rsidRPr="00543270">
        <w:rPr>
          <w:rFonts w:ascii="Hannotate SC Regular" w:eastAsia="Hannotate SC Regular" w:hAnsi="Hannotate SC Regular" w:cs="Hannotate SC Regular"/>
          <w:b/>
          <w:bCs/>
          <w:sz w:val="20"/>
          <w:szCs w:val="20"/>
          <w:lang w:eastAsia="zh-CN"/>
        </w:rPr>
        <w:t>业务联</w:t>
      </w:r>
      <w:r w:rsidRPr="00543270">
        <w:rPr>
          <w:rFonts w:ascii="SimSun" w:hAnsi="SimSun" w:cs="Times New Roman"/>
          <w:b/>
          <w:bCs/>
          <w:sz w:val="20"/>
          <w:szCs w:val="20"/>
          <w:lang w:eastAsia="zh-CN"/>
        </w:rPr>
        <w:t>席主管李一</w:t>
      </w:r>
      <w:r w:rsidRPr="00543270">
        <w:rPr>
          <w:rFonts w:ascii="Hannotate SC Regular" w:eastAsia="Hannotate SC Regular" w:hAnsi="Hannotate SC Regular" w:cs="Hannotate SC Regular"/>
          <w:b/>
          <w:bCs/>
          <w:sz w:val="20"/>
          <w:szCs w:val="20"/>
          <w:lang w:eastAsia="zh-CN"/>
        </w:rPr>
        <w:t>汇报</w:t>
      </w:r>
      <w:r w:rsidRPr="00543270">
        <w:rPr>
          <w:rFonts w:ascii="SimSun" w:hAnsi="SimSun" w:cs="Times New Roman"/>
          <w:sz w:val="20"/>
          <w:szCs w:val="20"/>
          <w:lang w:eastAsia="zh-CN"/>
        </w:rPr>
        <w:t>。</w:t>
      </w:r>
    </w:p>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SimSun" w:hAnsi="SimSun" w:cs="Times New Roman"/>
          <w:sz w:val="20"/>
          <w:szCs w:val="20"/>
          <w:lang w:eastAsia="zh-CN"/>
        </w:rPr>
        <w:t>黃國濱入</w:t>
      </w:r>
      <w:r w:rsidRPr="00543270">
        <w:rPr>
          <w:rFonts w:ascii="Hannotate SC Regular" w:eastAsia="Hannotate SC Regular" w:hAnsi="Hannotate SC Regular" w:cs="Hannotate SC Regular" w:hint="eastAsia"/>
          <w:sz w:val="20"/>
          <w:szCs w:val="20"/>
          <w:lang w:eastAsia="zh-CN"/>
        </w:rPr>
        <w:t>职</w:t>
      </w:r>
      <w:r w:rsidRPr="00543270">
        <w:rPr>
          <w:rFonts w:ascii="SimSun" w:hAnsi="SimSun" w:cs="Times New Roman"/>
          <w:sz w:val="20"/>
          <w:szCs w:val="20"/>
          <w:lang w:eastAsia="zh-CN"/>
        </w:rPr>
        <w:t>后，将</w:t>
      </w:r>
      <w:r w:rsidRPr="00543270">
        <w:rPr>
          <w:rFonts w:ascii="Hannotate SC Regular" w:eastAsia="Hannotate SC Regular" w:hAnsi="Hannotate SC Regular" w:cs="Hannotate SC Regular" w:hint="eastAsia"/>
          <w:sz w:val="20"/>
          <w:szCs w:val="20"/>
          <w:lang w:eastAsia="zh-CN"/>
        </w:rPr>
        <w:t>负责统</w:t>
      </w:r>
      <w:r w:rsidRPr="00543270">
        <w:rPr>
          <w:rFonts w:ascii="SimSun" w:hAnsi="SimSun" w:cs="Times New Roman"/>
          <w:sz w:val="20"/>
          <w:szCs w:val="20"/>
          <w:lang w:eastAsia="zh-CN"/>
        </w:rPr>
        <w:t>筹摩根大通全球投行</w:t>
      </w:r>
      <w:r w:rsidRPr="00543270">
        <w:rPr>
          <w:rFonts w:ascii="Hannotate SC Regular" w:eastAsia="Hannotate SC Regular" w:hAnsi="Hannotate SC Regular" w:cs="Hannotate SC Regular" w:hint="eastAsia"/>
          <w:sz w:val="20"/>
          <w:szCs w:val="20"/>
          <w:lang w:eastAsia="zh-CN"/>
        </w:rPr>
        <w:t>业务</w:t>
      </w:r>
      <w:r w:rsidRPr="00543270">
        <w:rPr>
          <w:rFonts w:ascii="SimSun" w:hAnsi="SimSun" w:cs="Times New Roman"/>
          <w:sz w:val="20"/>
          <w:szCs w:val="20"/>
          <w:lang w:eastAsia="zh-CN"/>
        </w:rPr>
        <w:t>在中国市</w:t>
      </w:r>
      <w:r w:rsidRPr="00543270">
        <w:rPr>
          <w:rFonts w:ascii="Hannotate SC Regular" w:eastAsia="Hannotate SC Regular" w:hAnsi="Hannotate SC Regular" w:cs="Hannotate SC Regular" w:hint="eastAsia"/>
          <w:sz w:val="20"/>
          <w:szCs w:val="20"/>
          <w:lang w:eastAsia="zh-CN"/>
        </w:rPr>
        <w:t>场</w:t>
      </w:r>
      <w:r w:rsidRPr="00543270">
        <w:rPr>
          <w:rFonts w:ascii="SimSun" w:hAnsi="SimSun" w:cs="Times New Roman"/>
          <w:sz w:val="20"/>
          <w:szCs w:val="20"/>
          <w:lang w:eastAsia="zh-CN"/>
        </w:rPr>
        <w:t>的</w:t>
      </w:r>
      <w:r w:rsidRPr="00543270">
        <w:rPr>
          <w:rFonts w:ascii="Hannotate SC Regular" w:eastAsia="Hannotate SC Regular" w:hAnsi="Hannotate SC Regular" w:cs="Hannotate SC Regular" w:hint="eastAsia"/>
          <w:sz w:val="20"/>
          <w:szCs w:val="20"/>
          <w:lang w:eastAsia="zh-CN"/>
        </w:rPr>
        <w:t>战</w:t>
      </w:r>
      <w:r w:rsidRPr="00543270">
        <w:rPr>
          <w:rFonts w:ascii="SimSun" w:hAnsi="SimSun" w:cs="Times New Roman"/>
          <w:sz w:val="20"/>
          <w:szCs w:val="20"/>
          <w:lang w:eastAsia="zh-CN"/>
        </w:rPr>
        <w:t>略，并与摩根大通全球</w:t>
      </w:r>
      <w:r w:rsidRPr="00543270">
        <w:rPr>
          <w:rFonts w:ascii="Hannotate SC Regular" w:eastAsia="Hannotate SC Regular" w:hAnsi="Hannotate SC Regular" w:cs="Hannotate SC Regular" w:hint="eastAsia"/>
          <w:sz w:val="20"/>
          <w:szCs w:val="20"/>
          <w:lang w:eastAsia="zh-CN"/>
        </w:rPr>
        <w:t>顶级</w:t>
      </w:r>
      <w:r w:rsidRPr="00543270">
        <w:rPr>
          <w:rFonts w:ascii="SimSun" w:hAnsi="SimSun" w:cs="Times New Roman"/>
          <w:sz w:val="20"/>
          <w:szCs w:val="20"/>
          <w:lang w:eastAsia="zh-CN"/>
        </w:rPr>
        <w:t>的行</w:t>
      </w:r>
      <w:r w:rsidRPr="00543270">
        <w:rPr>
          <w:rFonts w:ascii="Hannotate SC Regular" w:eastAsia="Hannotate SC Regular" w:hAnsi="Hannotate SC Regular" w:cs="Hannotate SC Regular" w:hint="eastAsia"/>
          <w:sz w:val="20"/>
          <w:szCs w:val="20"/>
          <w:lang w:eastAsia="zh-CN"/>
        </w:rPr>
        <w:t>业</w:t>
      </w:r>
      <w:r w:rsidRPr="00543270">
        <w:rPr>
          <w:rFonts w:ascii="SimSun" w:hAnsi="SimSun" w:cs="Times New Roman"/>
          <w:sz w:val="20"/>
          <w:szCs w:val="20"/>
          <w:lang w:eastAsia="zh-CN"/>
        </w:rPr>
        <w:t>和</w:t>
      </w:r>
      <w:r w:rsidRPr="00543270">
        <w:rPr>
          <w:rFonts w:ascii="Hannotate SC Regular" w:eastAsia="Hannotate SC Regular" w:hAnsi="Hannotate SC Regular" w:cs="Hannotate SC Regular" w:hint="eastAsia"/>
          <w:sz w:val="20"/>
          <w:szCs w:val="20"/>
          <w:lang w:eastAsia="zh-CN"/>
        </w:rPr>
        <w:t>产</w:t>
      </w:r>
      <w:r w:rsidRPr="00543270">
        <w:rPr>
          <w:rFonts w:ascii="SimSun" w:hAnsi="SimSun" w:cs="Times New Roman"/>
          <w:sz w:val="20"/>
          <w:szCs w:val="20"/>
          <w:lang w:eastAsia="zh-CN"/>
        </w:rPr>
        <w:t>品平台</w:t>
      </w:r>
      <w:r w:rsidRPr="00543270">
        <w:rPr>
          <w:rFonts w:ascii="Hannotate SC Regular" w:eastAsia="Hannotate SC Regular" w:hAnsi="Hannotate SC Regular" w:cs="Hannotate SC Regular" w:hint="eastAsia"/>
          <w:sz w:val="20"/>
          <w:szCs w:val="20"/>
          <w:lang w:eastAsia="zh-CN"/>
        </w:rPr>
        <w:t>协</w:t>
      </w:r>
      <w:r w:rsidRPr="00543270">
        <w:rPr>
          <w:rFonts w:ascii="SimSun" w:hAnsi="SimSun" w:cs="Times New Roman"/>
          <w:sz w:val="20"/>
          <w:szCs w:val="20"/>
          <w:lang w:eastAsia="zh-CN"/>
        </w:rPr>
        <w:t>同合作，籍此</w:t>
      </w:r>
      <w:r w:rsidRPr="00543270">
        <w:rPr>
          <w:rFonts w:ascii="Hannotate SC Regular" w:eastAsia="Hannotate SC Regular" w:hAnsi="Hannotate SC Regular" w:cs="Hannotate SC Regular" w:hint="eastAsia"/>
          <w:sz w:val="20"/>
          <w:szCs w:val="20"/>
          <w:lang w:eastAsia="zh-CN"/>
        </w:rPr>
        <w:t>为</w:t>
      </w:r>
      <w:r w:rsidRPr="00543270">
        <w:rPr>
          <w:rFonts w:ascii="SimSun" w:hAnsi="SimSun" w:cs="Times New Roman"/>
          <w:sz w:val="20"/>
          <w:szCs w:val="20"/>
          <w:lang w:eastAsia="zh-CN"/>
        </w:rPr>
        <w:t>客</w:t>
      </w:r>
      <w:r w:rsidRPr="00543270">
        <w:rPr>
          <w:rFonts w:ascii="Hannotate SC Regular" w:eastAsia="Hannotate SC Regular" w:hAnsi="Hannotate SC Regular" w:cs="Hannotate SC Regular" w:hint="eastAsia"/>
          <w:sz w:val="20"/>
          <w:szCs w:val="20"/>
          <w:lang w:eastAsia="zh-CN"/>
        </w:rPr>
        <w:t>户</w:t>
      </w:r>
      <w:r w:rsidRPr="00543270">
        <w:rPr>
          <w:rFonts w:ascii="SimSun" w:hAnsi="SimSun" w:cs="Times New Roman"/>
          <w:sz w:val="20"/>
          <w:szCs w:val="20"/>
          <w:lang w:eastAsia="zh-CN"/>
        </w:rPr>
        <w:t>在不断增</w:t>
      </w:r>
      <w:r w:rsidRPr="00543270">
        <w:rPr>
          <w:rFonts w:ascii="Hannotate SC Regular" w:eastAsia="Hannotate SC Regular" w:hAnsi="Hannotate SC Regular" w:cs="Hannotate SC Regular" w:hint="eastAsia"/>
          <w:sz w:val="20"/>
          <w:szCs w:val="20"/>
          <w:lang w:eastAsia="zh-CN"/>
        </w:rPr>
        <w:t>长</w:t>
      </w:r>
      <w:r w:rsidRPr="00543270">
        <w:rPr>
          <w:rFonts w:ascii="SimSun" w:hAnsi="SimSun" w:cs="Times New Roman"/>
          <w:sz w:val="20"/>
          <w:szCs w:val="20"/>
          <w:lang w:eastAsia="zh-CN"/>
        </w:rPr>
        <w:t>的中国市</w:t>
      </w:r>
      <w:r w:rsidRPr="00543270">
        <w:rPr>
          <w:rFonts w:ascii="Hannotate SC Regular" w:eastAsia="Hannotate SC Regular" w:hAnsi="Hannotate SC Regular" w:cs="Hannotate SC Regular" w:hint="eastAsia"/>
          <w:sz w:val="20"/>
          <w:szCs w:val="20"/>
          <w:lang w:eastAsia="zh-CN"/>
        </w:rPr>
        <w:t>场</w:t>
      </w:r>
      <w:r w:rsidRPr="00543270">
        <w:rPr>
          <w:rFonts w:ascii="SimSun" w:hAnsi="SimSun" w:cs="Times New Roman"/>
          <w:sz w:val="20"/>
          <w:szCs w:val="20"/>
          <w:lang w:eastAsia="zh-CN"/>
        </w:rPr>
        <w:t>提供</w:t>
      </w:r>
      <w:r w:rsidRPr="00543270">
        <w:rPr>
          <w:rFonts w:ascii="Hannotate SC Regular" w:eastAsia="Hannotate SC Regular" w:hAnsi="Hannotate SC Regular" w:cs="Hannotate SC Regular" w:hint="eastAsia"/>
          <w:sz w:val="20"/>
          <w:szCs w:val="20"/>
          <w:lang w:eastAsia="zh-CN"/>
        </w:rPr>
        <w:t>优质</w:t>
      </w:r>
      <w:r w:rsidRPr="00543270">
        <w:rPr>
          <w:rFonts w:ascii="SimSun" w:hAnsi="SimSun" w:cs="Times New Roman"/>
          <w:sz w:val="20"/>
          <w:szCs w:val="20"/>
          <w:lang w:eastAsia="zh-CN"/>
        </w:rPr>
        <w:t>服</w:t>
      </w:r>
      <w:r w:rsidRPr="00543270">
        <w:rPr>
          <w:rFonts w:ascii="Hannotate SC Regular" w:eastAsia="Hannotate SC Regular" w:hAnsi="Hannotate SC Regular" w:cs="Hannotate SC Regular" w:hint="eastAsia"/>
          <w:sz w:val="20"/>
          <w:szCs w:val="20"/>
          <w:lang w:eastAsia="zh-CN"/>
        </w:rPr>
        <w:t>务</w:t>
      </w:r>
      <w:r w:rsidRPr="00543270">
        <w:rPr>
          <w:rFonts w:ascii="SimSun" w:hAnsi="SimSun" w:cs="Times New Roman"/>
          <w:sz w:val="20"/>
          <w:szCs w:val="20"/>
          <w:lang w:eastAsia="zh-CN"/>
        </w:rPr>
        <w:t>。</w:t>
      </w:r>
    </w:p>
    <w:p w:rsidR="00543270" w:rsidRPr="00543270" w:rsidRDefault="00543270" w:rsidP="00543270">
      <w:pPr>
        <w:spacing w:before="100" w:beforeAutospacing="1" w:after="240"/>
        <w:rPr>
          <w:rFonts w:ascii="Times" w:hAnsi="Times" w:cs="Times New Roman"/>
          <w:sz w:val="20"/>
          <w:szCs w:val="20"/>
          <w:lang w:eastAsia="en-US"/>
        </w:rPr>
      </w:pPr>
      <w:r w:rsidRPr="00543270">
        <w:rPr>
          <w:rFonts w:ascii="SimSun" w:hAnsi="SimSun" w:cs="Times New Roman"/>
          <w:sz w:val="20"/>
          <w:szCs w:val="20"/>
          <w:lang w:eastAsia="en-US"/>
        </w:rPr>
        <w:br/>
      </w:r>
      <w:r w:rsidRPr="00543270">
        <w:rPr>
          <w:rFonts w:ascii="SimSun" w:hAnsi="SimSun" w:cs="Times New Roman"/>
          <w:sz w:val="20"/>
          <w:szCs w:val="20"/>
          <w:lang w:eastAsia="zh-CN"/>
        </w:rPr>
        <w:t>李一表示：</w:t>
      </w:r>
      <w:r w:rsidRPr="00543270">
        <w:rPr>
          <w:rFonts w:ascii="SimSun" w:hAnsi="SimSun" w:cs="Times New Roman"/>
          <w:sz w:val="20"/>
          <w:szCs w:val="20"/>
          <w:lang w:eastAsia="zh-CN"/>
        </w:rPr>
        <w:t>“</w:t>
      </w:r>
      <w:r w:rsidRPr="00543270">
        <w:rPr>
          <w:rFonts w:ascii="SimSun" w:hAnsi="SimSun" w:cs="Times New Roman"/>
          <w:sz w:val="20"/>
          <w:szCs w:val="20"/>
          <w:lang w:eastAsia="zh-CN"/>
        </w:rPr>
        <w:t>我</w:t>
      </w:r>
      <w:r w:rsidRPr="00543270">
        <w:rPr>
          <w:rFonts w:ascii="Hannotate SC Regular" w:eastAsia="Hannotate SC Regular" w:hAnsi="Hannotate SC Regular" w:cs="Hannotate SC Regular" w:hint="eastAsia"/>
          <w:sz w:val="20"/>
          <w:szCs w:val="20"/>
          <w:lang w:eastAsia="zh-CN"/>
        </w:rPr>
        <w:t>们</w:t>
      </w:r>
      <w:r w:rsidRPr="00543270">
        <w:rPr>
          <w:rFonts w:ascii="SimSun" w:hAnsi="SimSun" w:cs="Times New Roman"/>
          <w:sz w:val="20"/>
          <w:szCs w:val="20"/>
          <w:lang w:eastAsia="zh-CN"/>
        </w:rPr>
        <w:t>非常高</w:t>
      </w:r>
      <w:r w:rsidRPr="00543270">
        <w:rPr>
          <w:rFonts w:ascii="Hannotate SC Regular" w:eastAsia="Hannotate SC Regular" w:hAnsi="Hannotate SC Regular" w:cs="Hannotate SC Regular" w:hint="eastAsia"/>
          <w:sz w:val="20"/>
          <w:szCs w:val="20"/>
          <w:lang w:eastAsia="zh-CN"/>
        </w:rPr>
        <w:t>兴</w:t>
      </w:r>
      <w:r w:rsidRPr="00543270">
        <w:rPr>
          <w:rFonts w:ascii="SimSun" w:hAnsi="SimSun" w:cs="Times New Roman"/>
          <w:sz w:val="20"/>
          <w:szCs w:val="20"/>
          <w:lang w:eastAsia="zh-CN"/>
        </w:rPr>
        <w:t>黃國濱先生能</w:t>
      </w:r>
      <w:r w:rsidRPr="00543270">
        <w:rPr>
          <w:rFonts w:ascii="Hannotate SC Regular" w:eastAsia="Hannotate SC Regular" w:hAnsi="Hannotate SC Regular" w:cs="Hannotate SC Regular" w:hint="eastAsia"/>
          <w:sz w:val="20"/>
          <w:szCs w:val="20"/>
          <w:lang w:eastAsia="zh-CN"/>
        </w:rPr>
        <w:t>够</w:t>
      </w:r>
      <w:r w:rsidRPr="00543270">
        <w:rPr>
          <w:rFonts w:ascii="SimSun" w:hAnsi="SimSun" w:cs="Times New Roman"/>
          <w:sz w:val="20"/>
          <w:szCs w:val="20"/>
          <w:lang w:eastAsia="zh-CN"/>
        </w:rPr>
        <w:t>加入摩根大通。黃先生在投行</w:t>
      </w:r>
      <w:r w:rsidRPr="00543270">
        <w:rPr>
          <w:rFonts w:ascii="Hannotate SC Regular" w:eastAsia="Hannotate SC Regular" w:hAnsi="Hannotate SC Regular" w:cs="Hannotate SC Regular" w:hint="eastAsia"/>
          <w:sz w:val="20"/>
          <w:szCs w:val="20"/>
          <w:lang w:eastAsia="zh-CN"/>
        </w:rPr>
        <w:t>业务领</w:t>
      </w:r>
      <w:r w:rsidRPr="00543270">
        <w:rPr>
          <w:rFonts w:ascii="SimSun" w:hAnsi="SimSun" w:cs="Times New Roman"/>
          <w:sz w:val="20"/>
          <w:szCs w:val="20"/>
          <w:lang w:eastAsia="zh-CN"/>
        </w:rPr>
        <w:t>域</w:t>
      </w:r>
      <w:r w:rsidRPr="00543270">
        <w:rPr>
          <w:rFonts w:ascii="Hannotate SC Regular" w:eastAsia="Hannotate SC Regular" w:hAnsi="Hannotate SC Regular" w:cs="Hannotate SC Regular" w:hint="eastAsia"/>
          <w:sz w:val="20"/>
          <w:szCs w:val="20"/>
          <w:lang w:eastAsia="zh-CN"/>
        </w:rPr>
        <w:t>积</w:t>
      </w:r>
      <w:r w:rsidRPr="00543270">
        <w:rPr>
          <w:rFonts w:ascii="SimSun" w:hAnsi="SimSun" w:cs="Times New Roman"/>
          <w:sz w:val="20"/>
          <w:szCs w:val="20"/>
          <w:lang w:eastAsia="zh-CN"/>
        </w:rPr>
        <w:t>累了丰富</w:t>
      </w:r>
      <w:r w:rsidRPr="00543270">
        <w:rPr>
          <w:rFonts w:ascii="Hannotate SC Regular" w:eastAsia="Hannotate SC Regular" w:hAnsi="Hannotate SC Regular" w:cs="Hannotate SC Regular" w:hint="eastAsia"/>
          <w:sz w:val="20"/>
          <w:szCs w:val="20"/>
          <w:lang w:eastAsia="zh-CN"/>
        </w:rPr>
        <w:t>经验</w:t>
      </w:r>
      <w:r w:rsidRPr="00543270">
        <w:rPr>
          <w:rFonts w:ascii="SimSun" w:hAnsi="SimSun" w:cs="Times New Roman"/>
          <w:sz w:val="20"/>
          <w:szCs w:val="20"/>
          <w:lang w:eastAsia="zh-CN"/>
        </w:rPr>
        <w:t>和深刻独到的</w:t>
      </w:r>
      <w:r w:rsidRPr="00543270">
        <w:rPr>
          <w:rFonts w:ascii="Hannotate SC Regular" w:eastAsia="Hannotate SC Regular" w:hAnsi="Hannotate SC Regular" w:cs="Hannotate SC Regular" w:hint="eastAsia"/>
          <w:sz w:val="20"/>
          <w:szCs w:val="20"/>
          <w:lang w:eastAsia="zh-CN"/>
        </w:rPr>
        <w:t>见</w:t>
      </w:r>
      <w:r w:rsidRPr="00543270">
        <w:rPr>
          <w:rFonts w:ascii="SimSun" w:hAnsi="SimSun" w:cs="Times New Roman"/>
          <w:sz w:val="20"/>
          <w:szCs w:val="20"/>
          <w:lang w:eastAsia="zh-CN"/>
        </w:rPr>
        <w:t>解，他完成的交易更是横跨多个行</w:t>
      </w:r>
      <w:r w:rsidRPr="00543270">
        <w:rPr>
          <w:rFonts w:ascii="Hannotate SC Regular" w:eastAsia="Hannotate SC Regular" w:hAnsi="Hannotate SC Regular" w:cs="Hannotate SC Regular" w:hint="eastAsia"/>
          <w:sz w:val="20"/>
          <w:szCs w:val="20"/>
          <w:lang w:eastAsia="zh-CN"/>
        </w:rPr>
        <w:t>业领</w:t>
      </w:r>
      <w:r w:rsidRPr="00543270">
        <w:rPr>
          <w:rFonts w:ascii="SimSun" w:hAnsi="SimSun" w:cs="Times New Roman"/>
          <w:sz w:val="20"/>
          <w:szCs w:val="20"/>
          <w:lang w:eastAsia="zh-CN"/>
        </w:rPr>
        <w:t>域。他将成</w:t>
      </w:r>
      <w:r w:rsidRPr="00543270">
        <w:rPr>
          <w:rFonts w:ascii="Hannotate SC Regular" w:eastAsia="Hannotate SC Regular" w:hAnsi="Hannotate SC Regular" w:cs="Hannotate SC Regular" w:hint="eastAsia"/>
          <w:sz w:val="20"/>
          <w:szCs w:val="20"/>
          <w:lang w:eastAsia="zh-CN"/>
        </w:rPr>
        <w:t>为</w:t>
      </w:r>
      <w:r w:rsidRPr="00543270">
        <w:rPr>
          <w:rFonts w:ascii="SimSun" w:hAnsi="SimSun" w:cs="Times New Roman"/>
          <w:sz w:val="20"/>
          <w:szCs w:val="20"/>
          <w:lang w:eastAsia="zh-CN"/>
        </w:rPr>
        <w:t>我</w:t>
      </w:r>
      <w:r w:rsidRPr="00543270">
        <w:rPr>
          <w:rFonts w:ascii="Hannotate SC Regular" w:eastAsia="Hannotate SC Regular" w:hAnsi="Hannotate SC Regular" w:cs="Hannotate SC Regular" w:hint="eastAsia"/>
          <w:sz w:val="20"/>
          <w:szCs w:val="20"/>
          <w:lang w:eastAsia="zh-CN"/>
        </w:rPr>
        <w:t>们</w:t>
      </w:r>
      <w:r w:rsidRPr="00543270">
        <w:rPr>
          <w:rFonts w:ascii="SimSun" w:hAnsi="SimSun" w:cs="Times New Roman"/>
          <w:sz w:val="20"/>
          <w:szCs w:val="20"/>
          <w:lang w:eastAsia="zh-CN"/>
        </w:rPr>
        <w:t>国</w:t>
      </w:r>
      <w:r w:rsidRPr="00543270">
        <w:rPr>
          <w:rFonts w:ascii="Hannotate SC Regular" w:eastAsia="Hannotate SC Regular" w:hAnsi="Hannotate SC Regular" w:cs="Hannotate SC Regular" w:hint="eastAsia"/>
          <w:sz w:val="20"/>
          <w:szCs w:val="20"/>
          <w:lang w:eastAsia="zh-CN"/>
        </w:rPr>
        <w:t>际</w:t>
      </w:r>
      <w:r w:rsidRPr="00543270">
        <w:rPr>
          <w:rFonts w:ascii="SimSun" w:hAnsi="SimSun" w:cs="Times New Roman"/>
          <w:sz w:val="20"/>
          <w:szCs w:val="20"/>
          <w:lang w:eastAsia="zh-CN"/>
        </w:rPr>
        <w:t>投行</w:t>
      </w:r>
      <w:r w:rsidRPr="00543270">
        <w:rPr>
          <w:rFonts w:ascii="Hannotate SC Regular" w:eastAsia="Hannotate SC Regular" w:hAnsi="Hannotate SC Regular" w:cs="Hannotate SC Regular" w:hint="eastAsia"/>
          <w:sz w:val="20"/>
          <w:szCs w:val="20"/>
          <w:lang w:eastAsia="zh-CN"/>
        </w:rPr>
        <w:t>业务</w:t>
      </w:r>
      <w:r w:rsidRPr="00543270">
        <w:rPr>
          <w:rFonts w:ascii="SimSun" w:hAnsi="SimSun" w:cs="Times New Roman"/>
          <w:sz w:val="20"/>
          <w:szCs w:val="20"/>
          <w:lang w:eastAsia="zh-CN"/>
        </w:rPr>
        <w:t>宝</w:t>
      </w:r>
      <w:r w:rsidRPr="00543270">
        <w:rPr>
          <w:rFonts w:ascii="Hannotate SC Regular" w:eastAsia="Hannotate SC Regular" w:hAnsi="Hannotate SC Regular" w:cs="Hannotate SC Regular" w:hint="eastAsia"/>
          <w:sz w:val="20"/>
          <w:szCs w:val="20"/>
          <w:lang w:eastAsia="zh-CN"/>
        </w:rPr>
        <w:t>贵</w:t>
      </w:r>
      <w:r w:rsidRPr="00543270">
        <w:rPr>
          <w:rFonts w:ascii="SimSun" w:hAnsi="SimSun" w:cs="Times New Roman"/>
          <w:sz w:val="20"/>
          <w:szCs w:val="20"/>
          <w:lang w:eastAsia="zh-CN"/>
        </w:rPr>
        <w:t>的一</w:t>
      </w:r>
      <w:r w:rsidRPr="00543270">
        <w:rPr>
          <w:rFonts w:ascii="Hannotate SC Regular" w:eastAsia="Hannotate SC Regular" w:hAnsi="Hannotate SC Regular" w:cs="Hannotate SC Regular" w:hint="eastAsia"/>
          <w:sz w:val="20"/>
          <w:szCs w:val="20"/>
          <w:lang w:eastAsia="zh-CN"/>
        </w:rPr>
        <w:t>员</w:t>
      </w:r>
      <w:r w:rsidRPr="00543270">
        <w:rPr>
          <w:rFonts w:ascii="SimSun" w:hAnsi="SimSun" w:cs="Times New Roman"/>
          <w:sz w:val="20"/>
          <w:szCs w:val="20"/>
          <w:lang w:eastAsia="zh-CN"/>
        </w:rPr>
        <w:t>，并将</w:t>
      </w:r>
      <w:r w:rsidRPr="00543270">
        <w:rPr>
          <w:rFonts w:ascii="Hannotate SC Regular" w:eastAsia="Hannotate SC Regular" w:hAnsi="Hannotate SC Regular" w:cs="Hannotate SC Regular" w:hint="eastAsia"/>
          <w:sz w:val="20"/>
          <w:szCs w:val="20"/>
          <w:lang w:eastAsia="zh-CN"/>
        </w:rPr>
        <w:t>进</w:t>
      </w:r>
      <w:r w:rsidRPr="00543270">
        <w:rPr>
          <w:rFonts w:ascii="SimSun" w:hAnsi="SimSun" w:cs="Times New Roman"/>
          <w:sz w:val="20"/>
          <w:szCs w:val="20"/>
          <w:lang w:eastAsia="zh-CN"/>
        </w:rPr>
        <w:t>一步推</w:t>
      </w:r>
      <w:r w:rsidRPr="00543270">
        <w:rPr>
          <w:rFonts w:ascii="Hannotate SC Regular" w:eastAsia="Hannotate SC Regular" w:hAnsi="Hannotate SC Regular" w:cs="Hannotate SC Regular" w:hint="eastAsia"/>
          <w:sz w:val="20"/>
          <w:szCs w:val="20"/>
          <w:lang w:eastAsia="zh-CN"/>
        </w:rPr>
        <w:t>进</w:t>
      </w:r>
      <w:r w:rsidRPr="00543270">
        <w:rPr>
          <w:rFonts w:ascii="SimSun" w:hAnsi="SimSun" w:cs="Times New Roman"/>
          <w:sz w:val="20"/>
          <w:szCs w:val="20"/>
          <w:lang w:eastAsia="zh-CN"/>
        </w:rPr>
        <w:t>我</w:t>
      </w:r>
      <w:r w:rsidRPr="00543270">
        <w:rPr>
          <w:rFonts w:ascii="Hannotate SC Regular" w:eastAsia="Hannotate SC Regular" w:hAnsi="Hannotate SC Regular" w:cs="Hannotate SC Regular" w:hint="eastAsia"/>
          <w:sz w:val="20"/>
          <w:szCs w:val="20"/>
          <w:lang w:eastAsia="zh-CN"/>
        </w:rPr>
        <w:t>们</w:t>
      </w:r>
      <w:r w:rsidRPr="00543270">
        <w:rPr>
          <w:rFonts w:ascii="SimSun" w:hAnsi="SimSun" w:cs="Times New Roman"/>
          <w:sz w:val="20"/>
          <w:szCs w:val="20"/>
          <w:lang w:eastAsia="zh-CN"/>
        </w:rPr>
        <w:t>在</w:t>
      </w:r>
      <w:r w:rsidRPr="00543270">
        <w:rPr>
          <w:rFonts w:ascii="Hannotate SC Regular" w:eastAsia="Hannotate SC Regular" w:hAnsi="Hannotate SC Regular" w:cs="Hannotate SC Regular" w:hint="eastAsia"/>
          <w:sz w:val="20"/>
          <w:szCs w:val="20"/>
          <w:lang w:eastAsia="zh-CN"/>
        </w:rPr>
        <w:t>华</w:t>
      </w:r>
      <w:r w:rsidRPr="00543270">
        <w:rPr>
          <w:rFonts w:ascii="SimSun" w:hAnsi="SimSun" w:cs="Times New Roman"/>
          <w:sz w:val="20"/>
          <w:szCs w:val="20"/>
          <w:lang w:eastAsia="zh-CN"/>
        </w:rPr>
        <w:t>的投行</w:t>
      </w:r>
      <w:r w:rsidRPr="00543270">
        <w:rPr>
          <w:rFonts w:ascii="Hannotate SC Regular" w:eastAsia="Hannotate SC Regular" w:hAnsi="Hannotate SC Regular" w:cs="Hannotate SC Regular" w:hint="eastAsia"/>
          <w:sz w:val="20"/>
          <w:szCs w:val="20"/>
          <w:lang w:eastAsia="zh-CN"/>
        </w:rPr>
        <w:t>业务</w:t>
      </w:r>
      <w:r w:rsidRPr="00543270">
        <w:rPr>
          <w:rFonts w:ascii="SimSun" w:hAnsi="SimSun" w:cs="Times New Roman"/>
          <w:sz w:val="20"/>
          <w:szCs w:val="20"/>
          <w:lang w:eastAsia="zh-CN"/>
        </w:rPr>
        <w:t>。</w:t>
      </w:r>
      <w:r w:rsidRPr="00543270">
        <w:rPr>
          <w:rFonts w:ascii="SimSun" w:hAnsi="SimSun" w:cs="Times New Roman"/>
          <w:sz w:val="20"/>
          <w:szCs w:val="20"/>
          <w:lang w:eastAsia="zh-CN"/>
        </w:rPr>
        <w:t>”</w:t>
      </w:r>
    </w:p>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宋体" w:eastAsia="宋体" w:hAnsi="Times" w:cs="Times New Roman" w:hint="eastAsia"/>
          <w:sz w:val="20"/>
          <w:szCs w:val="20"/>
          <w:lang w:eastAsia="zh-CN"/>
        </w:rPr>
        <w:t>黃國濱在国内外的投行业务经验累计二十余年。他曾牵头完成多宗具有标竿意义的中国大型交易，这些交易遍及医疗、油气、金融机构以及大型工业行业等多个领域。</w:t>
      </w:r>
    </w:p>
    <w:p w:rsidR="00543270" w:rsidRPr="00543270" w:rsidRDefault="00543270" w:rsidP="00543270">
      <w:pPr>
        <w:spacing w:before="100" w:beforeAutospacing="1" w:after="240"/>
        <w:rPr>
          <w:rFonts w:ascii="Times" w:hAnsi="Times" w:cs="Times New Roman"/>
          <w:sz w:val="20"/>
          <w:szCs w:val="20"/>
          <w:lang w:eastAsia="en-US"/>
        </w:rPr>
      </w:pPr>
      <w:r w:rsidRPr="00543270">
        <w:rPr>
          <w:rFonts w:ascii="宋体" w:eastAsia="宋体" w:hAnsi="Times" w:cs="Times New Roman" w:hint="eastAsia"/>
          <w:sz w:val="20"/>
          <w:szCs w:val="20"/>
          <w:lang w:eastAsia="en-US"/>
        </w:rPr>
        <w:br/>
      </w:r>
      <w:r w:rsidRPr="00543270">
        <w:rPr>
          <w:rFonts w:ascii="宋体" w:eastAsia="宋体" w:hAnsi="Times" w:cs="Times New Roman" w:hint="eastAsia"/>
          <w:sz w:val="20"/>
          <w:szCs w:val="20"/>
          <w:lang w:eastAsia="zh-CN"/>
        </w:rPr>
        <w:t>加入摩根大通之前，黃國濱在高盛工作过四年，离职时任其中國區大工業組原負責人，而在此之前，黄先生曾在中国国际金融公司工作十余年，并担任不同高级管理职位；任职中金期间，他还为国务院和其它政府相关部门提供过医疗卫生领域改革的咨询服务。另外，黄先生对于中国的油气以及金融行业改革也作出了很大贡献。</w:t>
      </w:r>
    </w:p>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宋体" w:eastAsia="宋体" w:hAnsi="Times" w:cs="Times New Roman" w:hint="eastAsia"/>
          <w:b/>
          <w:bCs/>
          <w:sz w:val="20"/>
          <w:szCs w:val="20"/>
          <w:lang w:eastAsia="zh-CN"/>
        </w:rPr>
        <w:t>摩根大通亚太区主席兼首席执行官欧冠昇</w:t>
      </w:r>
      <w:r w:rsidRPr="00543270">
        <w:rPr>
          <w:rFonts w:ascii="宋体" w:eastAsia="宋体" w:hAnsi="Times" w:cs="Times New Roman" w:hint="eastAsia"/>
          <w:sz w:val="20"/>
          <w:szCs w:val="20"/>
          <w:lang w:eastAsia="zh-CN"/>
        </w:rPr>
        <w:t>强调：“在亚太区以及全球范围内，中国都是我们至关重要的市场， 而摩根大通对中国长期发展的潜力更充满信心。我们在华业务的发展机遇，将随着我们国际客户及中国客户业务的不断增长而进一步提升。”</w:t>
      </w:r>
      <w:r w:rsidRPr="00543270">
        <w:rPr>
          <w:rFonts w:ascii="Times" w:hAnsi="Times" w:cs="Times New Roman" w:hint="eastAsia"/>
          <w:sz w:val="20"/>
          <w:szCs w:val="20"/>
          <w:lang w:eastAsia="zh-CN"/>
        </w:rPr>
        <w:t xml:space="preserve"> </w:t>
      </w:r>
    </w:p>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宋体" w:eastAsia="宋体" w:hAnsi="Times" w:cs="Times New Roman" w:hint="eastAsia"/>
          <w:sz w:val="20"/>
          <w:szCs w:val="20"/>
          <w:lang w:eastAsia="en-US"/>
        </w:rPr>
        <w:br/>
      </w:r>
      <w:r w:rsidRPr="00543270">
        <w:rPr>
          <w:rFonts w:ascii="宋体" w:eastAsia="宋体" w:hAnsi="Times" w:cs="Times New Roman" w:hint="eastAsia"/>
          <w:sz w:val="20"/>
          <w:szCs w:val="20"/>
          <w:lang w:eastAsia="zh-CN"/>
        </w:rPr>
        <w:t>欧冠昇更表示：“黃國濱先生将带领我们优秀的中国业务团队，致力于为客户提供优质卓著的金融服务。摩根大通在中国有着长远的战略安排，我们将不断在关键的领域投入更多资源。在人才方面，我们会持续引进杰出的顶尖人才，以满足不断增长的客户服务需求。”</w:t>
      </w:r>
    </w:p>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Times" w:hAnsi="Times" w:cs="Times New Roman"/>
          <w:sz w:val="20"/>
          <w:szCs w:val="20"/>
          <w:lang w:eastAsia="en-US"/>
        </w:rPr>
        <w:t> </w:t>
      </w:r>
    </w:p>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Times" w:hAnsi="Times" w:cs="Times New Roman"/>
          <w:sz w:val="20"/>
          <w:szCs w:val="20"/>
          <w:lang w:eastAsia="en-US"/>
        </w:rPr>
        <w:t> </w:t>
      </w:r>
    </w:p>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Arial" w:hAnsi="Arial" w:cs="Arial"/>
          <w:color w:val="000000"/>
          <w:sz w:val="20"/>
          <w:szCs w:val="20"/>
          <w:lang w:eastAsia="en-US"/>
        </w:rPr>
        <w:t xml:space="preserve">Houston Huang will join J.P. Morgan in later this year as </w:t>
      </w:r>
      <w:r w:rsidRPr="00543270">
        <w:rPr>
          <w:rFonts w:ascii="Arial" w:hAnsi="Arial" w:cs="Arial"/>
          <w:b/>
          <w:bCs/>
          <w:color w:val="000000"/>
          <w:sz w:val="20"/>
          <w:szCs w:val="20"/>
          <w:lang w:eastAsia="en-US"/>
        </w:rPr>
        <w:t>head of Global Investment Banking (GIB), China</w:t>
      </w:r>
      <w:r w:rsidRPr="00543270">
        <w:rPr>
          <w:rFonts w:ascii="Arial" w:hAnsi="Arial" w:cs="Arial"/>
          <w:color w:val="000000"/>
          <w:sz w:val="20"/>
          <w:szCs w:val="20"/>
          <w:lang w:eastAsia="en-US"/>
        </w:rPr>
        <w:t xml:space="preserve">.  In this role, Houston will report to </w:t>
      </w:r>
      <w:r w:rsidRPr="00543270">
        <w:rPr>
          <w:rFonts w:ascii="Arial" w:hAnsi="Arial" w:cs="Arial"/>
          <w:b/>
          <w:bCs/>
          <w:color w:val="000000"/>
          <w:sz w:val="20"/>
          <w:szCs w:val="20"/>
          <w:lang w:eastAsia="en-US"/>
        </w:rPr>
        <w:t>David Li, Chairman and CEO for China and co-head of Banking for Greater China</w:t>
      </w:r>
      <w:r w:rsidRPr="00543270">
        <w:rPr>
          <w:rFonts w:ascii="Arial" w:hAnsi="Arial" w:cs="Arial"/>
          <w:color w:val="000000"/>
          <w:sz w:val="20"/>
          <w:szCs w:val="20"/>
          <w:lang w:eastAsia="en-US"/>
        </w:rPr>
        <w:t xml:space="preserve">, and will be responsible for driving our GIB strategy, partnering closely with J.P. Morgan’s top-tier industry and product platforms to deliver the firm to its clients in this key growth market. </w:t>
      </w:r>
    </w:p>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Arial" w:hAnsi="Arial" w:cs="Arial"/>
          <w:color w:val="000000"/>
          <w:sz w:val="20"/>
          <w:szCs w:val="20"/>
          <w:lang w:eastAsia="en-US"/>
        </w:rPr>
        <w:t> </w:t>
      </w:r>
    </w:p>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Arial" w:hAnsi="Arial" w:cs="Arial"/>
          <w:color w:val="000000"/>
          <w:sz w:val="20"/>
          <w:szCs w:val="20"/>
          <w:lang w:eastAsia="en-US"/>
        </w:rPr>
        <w:t xml:space="preserve">“We are delighted that Houston will be joining J.P. Morgan. He brings with him strong experience and unique insight to the firm having worked on landmark transactions across multiple sectors. He is an exceptional addition to our investment banking team in the region,” said David Li. </w:t>
      </w:r>
    </w:p>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Arial" w:hAnsi="Arial" w:cs="Arial"/>
          <w:color w:val="000000"/>
          <w:sz w:val="20"/>
          <w:szCs w:val="20"/>
          <w:lang w:eastAsia="en-US"/>
        </w:rPr>
        <w:br/>
        <w:t xml:space="preserve">With more than 20 years of experience in investment banking in China and abroad, Houston has </w:t>
      </w:r>
      <w:r w:rsidRPr="00543270">
        <w:rPr>
          <w:rFonts w:ascii="Arial" w:hAnsi="Arial" w:cs="Arial"/>
          <w:color w:val="000000"/>
          <w:sz w:val="20"/>
          <w:szCs w:val="20"/>
          <w:lang w:eastAsia="en-US"/>
        </w:rPr>
        <w:lastRenderedPageBreak/>
        <w:t xml:space="preserve">advised on many landmark transactions in the country and has developed long-standing relationships with leading local corporations across a variety of sectors including healthcare, oil and gas, financial institutions and industrials. Houston joins from Goldman Sachs where he worked for the past four years, most recently as head of China Industrials Group. Prior to that, Houston worked at China International Capital Corporation for more than 10 years where he held a variety of senior leadership roles and advised on the health-care reform programs being implemented by Chinese local authorities, including the State Council. Houston has also made significant contributions to the reform of the oil &amp; gas as well as financial industry. </w:t>
      </w:r>
      <w:r w:rsidRPr="00543270">
        <w:rPr>
          <w:rFonts w:ascii="Arial" w:hAnsi="Arial" w:cs="Arial"/>
          <w:color w:val="000000"/>
          <w:sz w:val="20"/>
          <w:szCs w:val="20"/>
          <w:lang w:eastAsia="en-US"/>
        </w:rPr>
        <w:br/>
      </w:r>
      <w:r w:rsidRPr="00543270">
        <w:rPr>
          <w:rFonts w:ascii="Arial" w:hAnsi="Arial" w:cs="Arial"/>
          <w:color w:val="000000"/>
          <w:sz w:val="20"/>
          <w:szCs w:val="20"/>
          <w:lang w:eastAsia="en-US"/>
        </w:rPr>
        <w:br/>
      </w:r>
      <w:r w:rsidRPr="00543270">
        <w:rPr>
          <w:rFonts w:ascii="Arial" w:hAnsi="Arial" w:cs="Arial"/>
          <w:sz w:val="20"/>
          <w:szCs w:val="20"/>
          <w:lang w:eastAsia="en-US"/>
        </w:rPr>
        <w:t xml:space="preserve">“China is a key market for us regionally and globally and we are confident about its long term growth prospects. As our international and Chinese clients expand their businesses, we see significant opportunities to serve them. Houston will lead our talented team ensuring we continue to provide them with critical and strategic advice. We have a long term plan for China and will continue to invest in key areas and attract top talent to the firm as we serve our clients’ growing needs, said </w:t>
      </w:r>
      <w:r w:rsidRPr="00543270">
        <w:rPr>
          <w:rFonts w:ascii="Arial" w:hAnsi="Arial" w:cs="Arial"/>
          <w:b/>
          <w:bCs/>
          <w:sz w:val="20"/>
          <w:szCs w:val="20"/>
          <w:lang w:eastAsia="en-US"/>
        </w:rPr>
        <w:t xml:space="preserve">Nicolas </w:t>
      </w:r>
      <w:proofErr w:type="spellStart"/>
      <w:r w:rsidRPr="00543270">
        <w:rPr>
          <w:rFonts w:ascii="Arial" w:hAnsi="Arial" w:cs="Arial"/>
          <w:b/>
          <w:bCs/>
          <w:sz w:val="20"/>
          <w:szCs w:val="20"/>
          <w:lang w:eastAsia="en-US"/>
        </w:rPr>
        <w:t>Aguzin</w:t>
      </w:r>
      <w:proofErr w:type="spellEnd"/>
      <w:r w:rsidRPr="00543270">
        <w:rPr>
          <w:rFonts w:ascii="Arial" w:hAnsi="Arial" w:cs="Arial"/>
          <w:b/>
          <w:bCs/>
          <w:sz w:val="20"/>
          <w:szCs w:val="20"/>
          <w:lang w:eastAsia="en-US"/>
        </w:rPr>
        <w:t>, CEO for Asia Pacific</w:t>
      </w:r>
      <w:r w:rsidRPr="00543270">
        <w:rPr>
          <w:rFonts w:ascii="Arial" w:hAnsi="Arial" w:cs="Arial"/>
          <w:sz w:val="20"/>
          <w:szCs w:val="20"/>
          <w:lang w:eastAsia="en-US"/>
        </w:rPr>
        <w:t>.</w:t>
      </w:r>
    </w:p>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Arial" w:hAnsi="Arial" w:cs="Arial"/>
          <w:color w:val="1F497D"/>
          <w:sz w:val="20"/>
          <w:szCs w:val="20"/>
          <w:lang w:eastAsia="en-US"/>
        </w:rPr>
        <w:t> </w:t>
      </w:r>
    </w:p>
    <w:p w:rsidR="00543270" w:rsidRPr="00543270" w:rsidRDefault="00543270" w:rsidP="00543270">
      <w:pPr>
        <w:spacing w:before="100" w:beforeAutospacing="1" w:after="100" w:afterAutospacing="1"/>
        <w:rPr>
          <w:rFonts w:ascii="Times" w:hAnsi="Times" w:cs="Times New Roman"/>
          <w:sz w:val="20"/>
          <w:szCs w:val="20"/>
          <w:lang w:eastAsia="en-US"/>
        </w:rPr>
      </w:pPr>
      <w:r w:rsidRPr="00543270">
        <w:rPr>
          <w:rFonts w:ascii="Calibri" w:hAnsi="Calibri" w:cs="Times New Roman"/>
          <w:color w:val="1F497D"/>
          <w:sz w:val="22"/>
          <w:szCs w:val="22"/>
          <w:lang w:eastAsia="en-US"/>
        </w:rPr>
        <w:t> </w:t>
      </w:r>
    </w:p>
    <w:p w:rsidR="00947456" w:rsidRDefault="00947456">
      <w:bookmarkStart w:id="0" w:name="_GoBack"/>
      <w:bookmarkEnd w:id="0"/>
    </w:p>
    <w:sectPr w:rsidR="00947456" w:rsidSect="00273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00"/>
    <w:family w:val="roman"/>
    <w:notTrueType/>
    <w:pitch w:val="default"/>
  </w:font>
  <w:font w:name="Hannotate SC Regular">
    <w:panose1 w:val="03000500000000000000"/>
    <w:charset w:val="50"/>
    <w:family w:val="auto"/>
    <w:pitch w:val="variable"/>
    <w:sig w:usb0="A00002FF" w:usb1="7ACF7CFB" w:usb2="00000016" w:usb3="00000000" w:csb0="0004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70"/>
    <w:rsid w:val="00273796"/>
    <w:rsid w:val="00543270"/>
    <w:rsid w:val="00947456"/>
    <w:rsid w:val="00F013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D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64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2386</Characters>
  <Application>Microsoft Macintosh Word</Application>
  <DocSecurity>0</DocSecurity>
  <Lines>19</Lines>
  <Paragraphs>5</Paragraphs>
  <ScaleCrop>false</ScaleCrop>
  <Company>university of missouri</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User</dc:creator>
  <cp:keywords/>
  <dc:description/>
  <cp:lastModifiedBy>n User</cp:lastModifiedBy>
  <cp:revision>1</cp:revision>
  <dcterms:created xsi:type="dcterms:W3CDTF">2015-09-16T08:21:00Z</dcterms:created>
  <dcterms:modified xsi:type="dcterms:W3CDTF">2015-09-16T08:21:00Z</dcterms:modified>
</cp:coreProperties>
</file>